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ED11F" w14:textId="0AAAD40A" w:rsidR="00BF32F0" w:rsidRPr="004C7C79" w:rsidRDefault="00420A38" w:rsidP="004C7C79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047287" w:rsidRPr="004B18C0">
        <w:rPr>
          <w:rFonts w:ascii="Calibri" w:hAnsi="Calibri"/>
        </w:rPr>
        <w:t>ENG</w:t>
      </w:r>
      <w:r w:rsidR="005063F5" w:rsidRPr="004B18C0">
        <w:rPr>
          <w:rFonts w:ascii="Calibri" w:hAnsi="Calibri"/>
        </w:rPr>
        <w:t>12</w:t>
      </w:r>
      <w:r w:rsidRPr="004B18C0">
        <w:rPr>
          <w:rFonts w:ascii="Calibri" w:hAnsi="Calibri"/>
        </w:rPr>
        <w:t>-</w:t>
      </w:r>
      <w:r w:rsidR="004B18C0" w:rsidRPr="004B18C0">
        <w:rPr>
          <w:rFonts w:ascii="Calibri" w:hAnsi="Calibri"/>
        </w:rPr>
        <w:t>3.</w:t>
      </w:r>
      <w:r w:rsidR="004B18C0">
        <w:rPr>
          <w:rFonts w:ascii="Calibri" w:hAnsi="Calibri"/>
        </w:rPr>
        <w:t>1.1</w:t>
      </w:r>
      <w:r w:rsidR="0078467B">
        <w:rPr>
          <w:rFonts w:ascii="Calibri" w:hAnsi="Calibri"/>
        </w:rPr>
        <w:t>4.1</w:t>
      </w:r>
    </w:p>
    <w:p w14:paraId="2EEED120" w14:textId="77777777" w:rsidR="00D019CE" w:rsidRPr="007A395D" w:rsidRDefault="00D019CE" w:rsidP="00F36489">
      <w:pPr>
        <w:pStyle w:val="BodyText"/>
      </w:pPr>
    </w:p>
    <w:p w14:paraId="2EEED121" w14:textId="77777777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2EEED122" w14:textId="77777777" w:rsidR="0080294B" w:rsidRPr="007A395D" w:rsidRDefault="003E29FE" w:rsidP="00F36489">
      <w:pPr>
        <w:pStyle w:val="BodyText"/>
        <w:rPr>
          <w:b/>
        </w:rPr>
      </w:pPr>
      <w:sdt>
        <w:sdtPr>
          <w:rPr>
            <w:b/>
          </w:rPr>
          <w:id w:val="181737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7C79">
            <w:rPr>
              <w:rFonts w:ascii="MS Gothic" w:eastAsia="MS Gothic" w:hAnsi="MS Gothic" w:hint="eastAsia"/>
              <w:b/>
            </w:rPr>
            <w:t>☐</w:t>
          </w:r>
        </w:sdtContent>
      </w:sdt>
      <w:r w:rsidR="0080294B" w:rsidRPr="007A395D">
        <w:t xml:space="preserve">  ARM</w:t>
      </w:r>
      <w:r w:rsidR="00037DF4" w:rsidRPr="007A395D">
        <w:tab/>
      </w:r>
      <w:sdt>
        <w:sdtPr>
          <w:rPr>
            <w:b/>
          </w:rPr>
          <w:id w:val="-351337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C7C79">
            <w:rPr>
              <w:rFonts w:ascii="MS Gothic" w:eastAsia="MS Gothic" w:hAnsi="MS Gothic" w:hint="eastAsia"/>
              <w:b/>
            </w:rPr>
            <w:t>☒</w:t>
          </w:r>
        </w:sdtContent>
      </w:sdt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sdt>
        <w:sdtPr>
          <w:rPr>
            <w:b/>
          </w:rPr>
          <w:id w:val="-886339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7C79">
            <w:rPr>
              <w:rFonts w:ascii="MS Gothic" w:eastAsia="MS Gothic" w:hAnsi="MS Gothic" w:hint="eastAsia"/>
              <w:b/>
            </w:rPr>
            <w:t>☐</w:t>
          </w:r>
        </w:sdtContent>
      </w:sdt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sdt>
        <w:sdtPr>
          <w:rPr>
            <w:b/>
          </w:rPr>
          <w:id w:val="-958730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7C79">
            <w:rPr>
              <w:rFonts w:ascii="MS Gothic" w:eastAsia="MS Gothic" w:hAnsi="MS Gothic" w:hint="eastAsia"/>
              <w:b/>
            </w:rPr>
            <w:t>☐</w:t>
          </w:r>
        </w:sdtContent>
      </w:sdt>
      <w:r w:rsidR="0080294B" w:rsidRPr="007A395D">
        <w:t xml:space="preserve">  Input</w:t>
      </w:r>
    </w:p>
    <w:p w14:paraId="2EEED123" w14:textId="77777777" w:rsidR="0080294B" w:rsidRPr="007A395D" w:rsidRDefault="003E29FE" w:rsidP="00F36489">
      <w:pPr>
        <w:pStyle w:val="BodyText"/>
      </w:pPr>
      <w:sdt>
        <w:sdtPr>
          <w:rPr>
            <w:b/>
          </w:rPr>
          <w:id w:val="1527601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7C79">
            <w:rPr>
              <w:rFonts w:ascii="MS Gothic" w:eastAsia="MS Gothic" w:hAnsi="MS Gothic" w:hint="eastAsia"/>
              <w:b/>
            </w:rPr>
            <w:t>☐</w:t>
          </w:r>
        </w:sdtContent>
      </w:sdt>
      <w:r w:rsidR="0080294B" w:rsidRPr="007A395D">
        <w:t xml:space="preserve">  ENAV</w:t>
      </w:r>
      <w:r w:rsidR="0080294B" w:rsidRPr="007A395D">
        <w:rPr>
          <w:b/>
        </w:rPr>
        <w:tab/>
      </w:r>
      <w:sdt>
        <w:sdtPr>
          <w:rPr>
            <w:b/>
          </w:rPr>
          <w:id w:val="-275339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7C79">
            <w:rPr>
              <w:rFonts w:ascii="MS Gothic" w:eastAsia="MS Gothic" w:hAnsi="MS Gothic" w:hint="eastAsia"/>
              <w:b/>
            </w:rPr>
            <w:t>☐</w:t>
          </w:r>
        </w:sdtContent>
      </w:sdt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sdt>
        <w:sdtPr>
          <w:rPr>
            <w:b/>
          </w:rPr>
          <w:id w:val="21224898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C7C79">
            <w:rPr>
              <w:rFonts w:ascii="MS Gothic" w:eastAsia="MS Gothic" w:hAnsi="MS Gothic" w:hint="eastAsia"/>
              <w:b/>
            </w:rPr>
            <w:t>☒</w:t>
          </w:r>
        </w:sdtContent>
      </w:sdt>
      <w:r w:rsidR="0080294B" w:rsidRPr="007A395D">
        <w:t xml:space="preserve">  Information</w:t>
      </w:r>
    </w:p>
    <w:p w14:paraId="2EEED124" w14:textId="77777777" w:rsidR="0080294B" w:rsidRPr="007A395D" w:rsidRDefault="0080294B" w:rsidP="00F36489">
      <w:pPr>
        <w:pStyle w:val="BodyText"/>
      </w:pPr>
    </w:p>
    <w:p w14:paraId="2EEED125" w14:textId="5695384E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AA4D37">
        <w:t>3.1</w:t>
      </w:r>
    </w:p>
    <w:p w14:paraId="2EEED126" w14:textId="3E937FCA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</w:r>
      <w:r w:rsidR="00793647" w:rsidRPr="00793647">
        <w:t xml:space="preserve"> </w:t>
      </w:r>
      <w:r w:rsidR="003E29FE">
        <w:t>3.4.1</w:t>
      </w:r>
    </w:p>
    <w:p w14:paraId="2EEED127" w14:textId="77777777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793647">
        <w:t xml:space="preserve">WG </w:t>
      </w:r>
      <w:r w:rsidR="005063F5">
        <w:t>3</w:t>
      </w:r>
      <w:bookmarkStart w:id="0" w:name="_GoBack"/>
      <w:bookmarkEnd w:id="0"/>
    </w:p>
    <w:p w14:paraId="2EEED128" w14:textId="77777777" w:rsidR="00362CD9" w:rsidRPr="007A395D" w:rsidRDefault="00362CD9" w:rsidP="008B153A">
      <w:pPr>
        <w:pStyle w:val="BodyText"/>
        <w:ind w:left="4320" w:hanging="4320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B153A">
        <w:t>Ro</w:t>
      </w:r>
      <w:r w:rsidR="004C7C79">
        <w:t>drigo González</w:t>
      </w:r>
      <w:r w:rsidR="008B153A">
        <w:t xml:space="preserve"> and </w:t>
      </w:r>
      <w:proofErr w:type="spellStart"/>
      <w:r w:rsidR="008B153A">
        <w:t>Elisabet</w:t>
      </w:r>
      <w:proofErr w:type="spellEnd"/>
      <w:r w:rsidR="008B153A">
        <w:t xml:space="preserve"> </w:t>
      </w:r>
      <w:proofErr w:type="spellStart"/>
      <w:r w:rsidR="008B153A">
        <w:t>Lacarra</w:t>
      </w:r>
      <w:proofErr w:type="spellEnd"/>
      <w:r w:rsidR="008B153A">
        <w:t xml:space="preserve"> (ESSP), Manuel López (GSA) </w:t>
      </w:r>
      <w:r w:rsidR="00C72334">
        <w:t xml:space="preserve">and </w:t>
      </w:r>
      <w:r w:rsidR="008B153A">
        <w:t>Kaisu Heikonen (</w:t>
      </w:r>
      <w:proofErr w:type="spellStart"/>
      <w:r w:rsidR="008B153A">
        <w:t>Väylä</w:t>
      </w:r>
      <w:proofErr w:type="spellEnd"/>
      <w:r w:rsidR="008B153A">
        <w:t>).</w:t>
      </w:r>
    </w:p>
    <w:p w14:paraId="2EEED129" w14:textId="77777777" w:rsidR="0080294B" w:rsidRPr="007A395D" w:rsidRDefault="0080294B" w:rsidP="00F36489">
      <w:pPr>
        <w:pStyle w:val="BodyText"/>
      </w:pPr>
    </w:p>
    <w:p w14:paraId="2EEED12A" w14:textId="77777777" w:rsidR="00793647" w:rsidRPr="00601872" w:rsidRDefault="00601872" w:rsidP="00412A6B">
      <w:pPr>
        <w:pStyle w:val="Title"/>
        <w:ind w:left="720"/>
        <w:rPr>
          <w:color w:val="00558C"/>
        </w:rPr>
      </w:pPr>
      <w:r w:rsidRPr="00601872">
        <w:rPr>
          <w:color w:val="00558C"/>
        </w:rPr>
        <w:t>EGNOS performance along Finnish coast</w:t>
      </w:r>
    </w:p>
    <w:p w14:paraId="2EEED12B" w14:textId="77777777" w:rsidR="00A446C9" w:rsidRPr="004D4B1B" w:rsidRDefault="00A446C9" w:rsidP="009B5263">
      <w:pPr>
        <w:pStyle w:val="Heading1"/>
      </w:pPr>
      <w:r w:rsidRPr="009B5263">
        <w:t>Summary</w:t>
      </w:r>
    </w:p>
    <w:p w14:paraId="2EEED12C" w14:textId="77777777" w:rsidR="00B56BDF" w:rsidRDefault="00B77F37" w:rsidP="00F36489">
      <w:pPr>
        <w:pStyle w:val="BodyText"/>
      </w:pPr>
      <w:r>
        <w:t xml:space="preserve">A </w:t>
      </w:r>
      <w:r w:rsidR="009B0C0C">
        <w:t xml:space="preserve">GNSS data campaigns </w:t>
      </w:r>
      <w:r>
        <w:t>was</w:t>
      </w:r>
      <w:r w:rsidR="009B0C0C">
        <w:t xml:space="preserve"> performed along the Finnish coast</w:t>
      </w:r>
      <w:r>
        <w:t xml:space="preserve"> between 1</w:t>
      </w:r>
      <w:r w:rsidRPr="00B77F37">
        <w:rPr>
          <w:vertAlign w:val="superscript"/>
        </w:rPr>
        <w:t>st</w:t>
      </w:r>
      <w:r>
        <w:t xml:space="preserve"> and 14</w:t>
      </w:r>
      <w:r w:rsidRPr="00B77F37">
        <w:rPr>
          <w:vertAlign w:val="superscript"/>
        </w:rPr>
        <w:t>th</w:t>
      </w:r>
      <w:r>
        <w:t xml:space="preserve"> November 2019 on board </w:t>
      </w:r>
      <w:proofErr w:type="spellStart"/>
      <w:r>
        <w:t>Mastera</w:t>
      </w:r>
      <w:proofErr w:type="spellEnd"/>
      <w:r>
        <w:t xml:space="preserve">, a </w:t>
      </w:r>
      <w:r w:rsidRPr="00B77F37">
        <w:t>crude oil tanker</w:t>
      </w:r>
      <w:r>
        <w:t>,</w:t>
      </w:r>
      <w:r w:rsidR="009B0C0C">
        <w:t xml:space="preserve"> </w:t>
      </w:r>
      <w:r w:rsidR="009B0C0C" w:rsidRPr="009B0C0C">
        <w:t>in order to analyse the EGNOS performance in the border of Northeast EGNOS coverage area</w:t>
      </w:r>
      <w:r w:rsidR="00ED0710">
        <w:t>.</w:t>
      </w:r>
    </w:p>
    <w:p w14:paraId="2EEED12D" w14:textId="77777777" w:rsidR="009B0C0C" w:rsidRPr="007A395D" w:rsidRDefault="009B0C0C" w:rsidP="00F36489">
      <w:pPr>
        <w:pStyle w:val="BodyText"/>
      </w:pPr>
      <w:r>
        <w:t xml:space="preserve">Results, coming from a set of different GNSS receivers (maritime receivers, high-end receivers and </w:t>
      </w:r>
      <w:r w:rsidRPr="009B0C0C">
        <w:t>receivers aligned with the future SBAS guidelines</w:t>
      </w:r>
      <w:r>
        <w:t xml:space="preserve">), point out that the EGNOS L1 service is </w:t>
      </w:r>
      <w:r w:rsidRPr="009B0C0C">
        <w:t>compliant with the operational requirements def</w:t>
      </w:r>
      <w:r>
        <w:t xml:space="preserve">ined in the IMO Res. A.1046 </w:t>
      </w:r>
      <w:r w:rsidRPr="009B0C0C">
        <w:t>for ocean waters, coastal waters and harbour entrances/approaches</w:t>
      </w:r>
      <w:r w:rsidR="008B153A">
        <w:t xml:space="preserve"> at those high latitudes</w:t>
      </w:r>
      <w:r>
        <w:t xml:space="preserve">. </w:t>
      </w:r>
    </w:p>
    <w:p w14:paraId="2EEED12E" w14:textId="77777777" w:rsidR="001C44A3" w:rsidRPr="00605E43" w:rsidRDefault="00BD4E6F" w:rsidP="00412A6B">
      <w:pPr>
        <w:pStyle w:val="Heading1"/>
      </w:pPr>
      <w:r w:rsidRPr="00605E43">
        <w:t>Purpose</w:t>
      </w:r>
      <w:r w:rsidR="004D1D85" w:rsidRPr="00605E43">
        <w:t xml:space="preserve"> of the document</w:t>
      </w:r>
    </w:p>
    <w:p w14:paraId="2EEED12F" w14:textId="77777777" w:rsidR="00E55927" w:rsidRPr="007A395D" w:rsidRDefault="007B084F" w:rsidP="00F36489">
      <w:pPr>
        <w:pStyle w:val="BodyText"/>
      </w:pPr>
      <w:r w:rsidRPr="00D7680D">
        <w:t xml:space="preserve">The purpose of this article is to confirm that EGNOS </w:t>
      </w:r>
      <w:r w:rsidRPr="001A0B8C">
        <w:t>(European Geostationary Navigation Overlay Service / SBAS in Europe) performance</w:t>
      </w:r>
      <w:r w:rsidRPr="00D7680D">
        <w:t xml:space="preserve"> over Northeast Europe is compliant with the operational requirements defined in the IMO Res. A.1046 (27) for ocean waters and harbour entrances/approaches, being beneficial for maritime community. In addition, this paper will inform about the programmatic activities that are ongoing for the provision of EGNOS L1 maritime service over Europe</w:t>
      </w:r>
      <w:r w:rsidR="00601872">
        <w:t>.</w:t>
      </w:r>
    </w:p>
    <w:p w14:paraId="2EEED130" w14:textId="77777777" w:rsidR="00A446C9" w:rsidRPr="007A395D" w:rsidRDefault="00A446C9" w:rsidP="00412A6B">
      <w:pPr>
        <w:pStyle w:val="Heading1"/>
      </w:pPr>
      <w:r w:rsidRPr="007A395D">
        <w:t>Background</w:t>
      </w:r>
    </w:p>
    <w:p w14:paraId="2EEED131" w14:textId="77777777" w:rsidR="00B86E96" w:rsidRPr="008B153A" w:rsidRDefault="00601872" w:rsidP="00F36489">
      <w:pPr>
        <w:pStyle w:val="BodyText"/>
        <w:rPr>
          <w:rFonts w:asciiTheme="minorHAnsi" w:hAnsiTheme="minorHAnsi" w:cstheme="minorHAnsi"/>
        </w:rPr>
      </w:pPr>
      <w:r w:rsidRPr="008B153A">
        <w:rPr>
          <w:rFonts w:asciiTheme="minorHAnsi" w:hAnsiTheme="minorHAnsi" w:cstheme="minorHAnsi"/>
        </w:rPr>
        <w:t>The IALA Guideline 1152 on SBAS Maritime Service approved in IALA Council 69 hold last 16</w:t>
      </w:r>
      <w:r w:rsidR="00B86E96" w:rsidRPr="008B153A">
        <w:rPr>
          <w:rFonts w:asciiTheme="minorHAnsi" w:hAnsiTheme="minorHAnsi" w:cstheme="minorHAnsi"/>
          <w:vertAlign w:val="superscript"/>
        </w:rPr>
        <w:t>th</w:t>
      </w:r>
      <w:r w:rsidR="00B86E96" w:rsidRPr="008B153A">
        <w:rPr>
          <w:rFonts w:asciiTheme="minorHAnsi" w:hAnsiTheme="minorHAnsi" w:cstheme="minorHAnsi"/>
        </w:rPr>
        <w:t xml:space="preserve"> </w:t>
      </w:r>
      <w:r w:rsidRPr="008B153A">
        <w:rPr>
          <w:rFonts w:asciiTheme="minorHAnsi" w:hAnsiTheme="minorHAnsi" w:cstheme="minorHAnsi"/>
        </w:rPr>
        <w:t>December 2019 presents the future considerations when a Member State considers the declaration of a tailored SBAS service for the Maritime Community</w:t>
      </w:r>
      <w:r w:rsidR="00ED0710" w:rsidRPr="008B153A">
        <w:rPr>
          <w:rFonts w:asciiTheme="minorHAnsi" w:hAnsiTheme="minorHAnsi" w:cstheme="minorHAnsi"/>
        </w:rPr>
        <w:t>.</w:t>
      </w:r>
    </w:p>
    <w:p w14:paraId="2EEED132" w14:textId="77777777" w:rsidR="00B86E96" w:rsidRPr="008B153A" w:rsidRDefault="00601872" w:rsidP="00F36489">
      <w:pPr>
        <w:pStyle w:val="BodyText"/>
        <w:rPr>
          <w:rFonts w:asciiTheme="minorHAnsi" w:hAnsiTheme="minorHAnsi" w:cstheme="minorHAnsi"/>
          <w:shd w:val="clear" w:color="auto" w:fill="FFFFFF"/>
        </w:rPr>
      </w:pPr>
      <w:r w:rsidRPr="008B153A">
        <w:rPr>
          <w:rFonts w:asciiTheme="minorHAnsi" w:hAnsiTheme="minorHAnsi" w:cstheme="minorHAnsi"/>
        </w:rPr>
        <w:t>The Guideline includes</w:t>
      </w:r>
      <w:r w:rsidR="00E7511B" w:rsidRPr="008B153A">
        <w:rPr>
          <w:rFonts w:asciiTheme="minorHAnsi" w:hAnsiTheme="minorHAnsi" w:cstheme="minorHAnsi"/>
          <w:shd w:val="clear" w:color="auto" w:fill="FFFFFF"/>
        </w:rPr>
        <w:t>:</w:t>
      </w:r>
    </w:p>
    <w:p w14:paraId="2EEED133" w14:textId="77777777" w:rsidR="00B86E96" w:rsidRPr="008B153A" w:rsidRDefault="00E7511B" w:rsidP="00B47C5B">
      <w:pPr>
        <w:pStyle w:val="BodyText"/>
        <w:numPr>
          <w:ilvl w:val="0"/>
          <w:numId w:val="18"/>
        </w:numPr>
        <w:rPr>
          <w:rFonts w:asciiTheme="minorHAnsi" w:hAnsiTheme="minorHAnsi" w:cstheme="minorHAnsi"/>
        </w:rPr>
      </w:pPr>
      <w:r w:rsidRPr="008B153A">
        <w:rPr>
          <w:rFonts w:asciiTheme="minorHAnsi" w:hAnsiTheme="minorHAnsi" w:cstheme="minorHAnsi"/>
          <w:shd w:val="clear" w:color="auto" w:fill="FFFFFF"/>
        </w:rPr>
        <w:t xml:space="preserve">Operational requirements based on IMO Res. </w:t>
      </w:r>
      <w:r w:rsidR="008B153A" w:rsidRPr="008B153A">
        <w:rPr>
          <w:rFonts w:asciiTheme="minorHAnsi" w:hAnsiTheme="minorHAnsi" w:cstheme="minorHAnsi"/>
          <w:shd w:val="clear" w:color="auto" w:fill="FFFFFF"/>
        </w:rPr>
        <w:t>A.</w:t>
      </w:r>
      <w:r w:rsidRPr="008B153A">
        <w:rPr>
          <w:rFonts w:asciiTheme="minorHAnsi" w:hAnsiTheme="minorHAnsi" w:cstheme="minorHAnsi"/>
          <w:shd w:val="clear" w:color="auto" w:fill="FFFFFF"/>
        </w:rPr>
        <w:t>1046</w:t>
      </w:r>
      <w:r w:rsidR="00B86E96" w:rsidRPr="008B153A">
        <w:rPr>
          <w:rFonts w:asciiTheme="minorHAnsi" w:hAnsiTheme="minorHAnsi" w:cstheme="minorHAnsi"/>
          <w:shd w:val="clear" w:color="auto" w:fill="FFFFFF"/>
        </w:rPr>
        <w:t>.</w:t>
      </w:r>
    </w:p>
    <w:p w14:paraId="2EEED134" w14:textId="77777777" w:rsidR="00B86E96" w:rsidRPr="008B153A" w:rsidRDefault="00E7511B" w:rsidP="00B47C5B">
      <w:pPr>
        <w:pStyle w:val="BodyText"/>
        <w:numPr>
          <w:ilvl w:val="0"/>
          <w:numId w:val="18"/>
        </w:numPr>
        <w:rPr>
          <w:rFonts w:asciiTheme="minorHAnsi" w:hAnsiTheme="minorHAnsi" w:cstheme="minorHAnsi"/>
        </w:rPr>
      </w:pPr>
      <w:r w:rsidRPr="008B153A">
        <w:rPr>
          <w:rFonts w:asciiTheme="minorHAnsi" w:hAnsiTheme="minorHAnsi" w:cstheme="minorHAnsi"/>
          <w:shd w:val="clear" w:color="auto" w:fill="FFFFFF"/>
        </w:rPr>
        <w:t>SBAS architecture, existing and future systems</w:t>
      </w:r>
      <w:r w:rsidR="00B86E96" w:rsidRPr="008B153A">
        <w:rPr>
          <w:rFonts w:asciiTheme="minorHAnsi" w:hAnsiTheme="minorHAnsi" w:cstheme="minorHAnsi"/>
          <w:shd w:val="clear" w:color="auto" w:fill="FFFFFF"/>
        </w:rPr>
        <w:t>.</w:t>
      </w:r>
    </w:p>
    <w:p w14:paraId="2EEED135" w14:textId="77777777" w:rsidR="00B86E96" w:rsidRPr="008B153A" w:rsidRDefault="00E7511B" w:rsidP="00B47C5B">
      <w:pPr>
        <w:pStyle w:val="BodyText"/>
        <w:numPr>
          <w:ilvl w:val="0"/>
          <w:numId w:val="18"/>
        </w:numPr>
        <w:rPr>
          <w:rFonts w:asciiTheme="minorHAnsi" w:hAnsiTheme="minorHAnsi" w:cstheme="minorHAnsi"/>
        </w:rPr>
      </w:pPr>
      <w:r w:rsidRPr="008B153A">
        <w:rPr>
          <w:rFonts w:asciiTheme="minorHAnsi" w:hAnsiTheme="minorHAnsi" w:cstheme="minorHAnsi"/>
          <w:shd w:val="clear" w:color="auto" w:fill="FFFFFF"/>
        </w:rPr>
        <w:t>SBAS service performance parameters</w:t>
      </w:r>
      <w:r w:rsidR="00B86E96" w:rsidRPr="008B153A">
        <w:rPr>
          <w:rFonts w:asciiTheme="minorHAnsi" w:hAnsiTheme="minorHAnsi" w:cstheme="minorHAnsi"/>
          <w:shd w:val="clear" w:color="auto" w:fill="FFFFFF"/>
        </w:rPr>
        <w:t>.</w:t>
      </w:r>
    </w:p>
    <w:p w14:paraId="2EEED136" w14:textId="77777777" w:rsidR="00793647" w:rsidRPr="008B153A" w:rsidRDefault="00B86E96" w:rsidP="00B47C5B">
      <w:pPr>
        <w:pStyle w:val="BodyText"/>
        <w:numPr>
          <w:ilvl w:val="0"/>
          <w:numId w:val="18"/>
        </w:numPr>
        <w:rPr>
          <w:rFonts w:asciiTheme="minorHAnsi" w:hAnsiTheme="minorHAnsi" w:cstheme="minorHAnsi"/>
        </w:rPr>
      </w:pPr>
      <w:r w:rsidRPr="008B153A">
        <w:rPr>
          <w:rFonts w:asciiTheme="minorHAnsi" w:hAnsiTheme="minorHAnsi" w:cstheme="minorHAnsi"/>
          <w:shd w:val="clear" w:color="auto" w:fill="FFFFFF"/>
        </w:rPr>
        <w:lastRenderedPageBreak/>
        <w:t>S</w:t>
      </w:r>
      <w:r w:rsidR="00E7511B" w:rsidRPr="008B153A">
        <w:rPr>
          <w:rFonts w:asciiTheme="minorHAnsi" w:hAnsiTheme="minorHAnsi" w:cstheme="minorHAnsi"/>
          <w:shd w:val="clear" w:color="auto" w:fill="FFFFFF"/>
        </w:rPr>
        <w:t>ervice Provision Scheme with the roles and responsibilities of each party involved in the SBAS service including the generation of MSI.</w:t>
      </w:r>
    </w:p>
    <w:p w14:paraId="2EEED137" w14:textId="77777777" w:rsidR="00ED0710" w:rsidRPr="00ED0710" w:rsidRDefault="00ED0710" w:rsidP="00ED0710">
      <w:pPr>
        <w:pStyle w:val="Heading1"/>
      </w:pPr>
      <w:r>
        <w:t>Contribution</w:t>
      </w:r>
    </w:p>
    <w:p w14:paraId="2EEED138" w14:textId="77777777" w:rsidR="00793647" w:rsidRDefault="00412A6B" w:rsidP="00793647">
      <w:pPr>
        <w:pStyle w:val="BodyText"/>
      </w:pPr>
      <w:r w:rsidRPr="00412A6B">
        <w:t xml:space="preserve">EC (European Commission) and GSA (European GNSS Agency) are assessing an </w:t>
      </w:r>
      <w:r w:rsidRPr="00412A6B">
        <w:rPr>
          <w:i/>
        </w:rPr>
        <w:t>EGNOS L1 maritime service</w:t>
      </w:r>
      <w:r w:rsidRPr="00412A6B">
        <w:t xml:space="preserve"> with the objective to complement the existing maritime radio-navigation systems (e.g. DGNSS). Maritime community is interested in using SBAS for ocean waters, coastal waters and harbour entrances/approaches considering operational needs (IMO Res. </w:t>
      </w:r>
      <w:r w:rsidR="008B153A">
        <w:t>A.</w:t>
      </w:r>
      <w:r w:rsidRPr="00412A6B">
        <w:t>1046), especially where there is no back-up infrastructure or in poorly covered environments. EGNOS L1 Maritime Service aims at providing pseudo-range corrections and alert information to the GPS L1 signals for maritime navigation, obtaining enhanced accuracy and integrity information over Europe.</w:t>
      </w:r>
    </w:p>
    <w:p w14:paraId="2EEED139" w14:textId="77777777" w:rsidR="007B084F" w:rsidRDefault="007B084F" w:rsidP="00793647">
      <w:pPr>
        <w:pStyle w:val="BodyText"/>
      </w:pPr>
      <w:r w:rsidRPr="007B084F">
        <w:t xml:space="preserve">In addition, CEN/CENELEC </w:t>
      </w:r>
      <w:r w:rsidR="001B7137">
        <w:t xml:space="preserve">has created an European WG to support in </w:t>
      </w:r>
      <w:r w:rsidRPr="007B084F">
        <w:t xml:space="preserve">the IEC </w:t>
      </w:r>
      <w:r w:rsidR="001B7137">
        <w:t xml:space="preserve">the </w:t>
      </w:r>
      <w:r w:rsidRPr="007B084F">
        <w:t>standardisation of SBAS in shipborne receivers for maritime applications to ensure that type approved receivers meet the required minimum performances.</w:t>
      </w:r>
    </w:p>
    <w:p w14:paraId="2EEED13A" w14:textId="77777777" w:rsidR="00412A6B" w:rsidRDefault="00B77F37" w:rsidP="00793647">
      <w:pPr>
        <w:pStyle w:val="BodyText"/>
      </w:pPr>
      <w:r>
        <w:t>A</w:t>
      </w:r>
      <w:r w:rsidR="00412A6B" w:rsidRPr="00412A6B">
        <w:t xml:space="preserve"> GNSS campaigns </w:t>
      </w:r>
      <w:r>
        <w:t>was</w:t>
      </w:r>
      <w:r w:rsidR="00412A6B" w:rsidRPr="00412A6B">
        <w:t xml:space="preserve"> performed along the </w:t>
      </w:r>
      <w:r>
        <w:t>Gulf of Finland</w:t>
      </w:r>
      <w:r w:rsidR="00412A6B" w:rsidRPr="00412A6B">
        <w:t xml:space="preserve"> in order to analyse the EGNOS performance in the border of Northeast EGNOS coverage area. Different types of receivers configured to use SBAS </w:t>
      </w:r>
      <w:r>
        <w:t>were</w:t>
      </w:r>
      <w:r w:rsidR="00412A6B" w:rsidRPr="00412A6B">
        <w:t xml:space="preserve"> on board </w:t>
      </w:r>
      <w:r w:rsidR="00412A6B">
        <w:t>a</w:t>
      </w:r>
      <w:r w:rsidR="00412A6B" w:rsidRPr="00412A6B">
        <w:t xml:space="preserve"> vessel to analyse the results. The set of receivers used include</w:t>
      </w:r>
      <w:r>
        <w:t>s</w:t>
      </w:r>
      <w:r w:rsidR="00412A6B" w:rsidRPr="00412A6B">
        <w:t xml:space="preserve"> maritime receivers, high-end receivers and also new receivers aligned with the future SBAS guidelines</w:t>
      </w:r>
      <w:r w:rsidR="00412A6B">
        <w:t xml:space="preserve">. </w:t>
      </w:r>
      <w:r w:rsidR="00412A6B" w:rsidRPr="00412A6B">
        <w:t xml:space="preserve">The EGNOS performance results </w:t>
      </w:r>
      <w:r>
        <w:t>are</w:t>
      </w:r>
      <w:r w:rsidR="00412A6B" w:rsidRPr="00412A6B">
        <w:t xml:space="preserve"> compared with respect to the GPS standalone solution, </w:t>
      </w:r>
      <w:r w:rsidR="00412A6B">
        <w:t>to evaluate the improvement of using an enhanced navigation solution in the region where EGNOS will provide this Maritime Service</w:t>
      </w:r>
      <w:r w:rsidR="00412A6B" w:rsidRPr="00412A6B">
        <w:t xml:space="preserve">. The performance obtained with the receivers </w:t>
      </w:r>
      <w:r>
        <w:t>are</w:t>
      </w:r>
      <w:r w:rsidR="00412A6B" w:rsidRPr="00412A6B">
        <w:t xml:space="preserve"> compared with the operational requirements defined in the IMO Resolution A.1046 (27) to assess the feasibility of EGNOS for some maritime applications</w:t>
      </w:r>
      <w:r w:rsidR="00412A6B">
        <w:t>.</w:t>
      </w:r>
    </w:p>
    <w:p w14:paraId="2EEED13B" w14:textId="77777777" w:rsidR="00412A6B" w:rsidRDefault="00412A6B" w:rsidP="00793647">
      <w:pPr>
        <w:pStyle w:val="BodyText"/>
      </w:pPr>
      <w:r w:rsidRPr="00412A6B">
        <w:t xml:space="preserve">The results </w:t>
      </w:r>
      <w:r w:rsidR="00B77F37">
        <w:t>confirms</w:t>
      </w:r>
      <w:r w:rsidRPr="00412A6B">
        <w:t xml:space="preserve"> that EGNOS L1 service is compliant with the operational requirements defined in the IMO Res. A.1046 (27) for ocean waters, coastal waters and harbour entrances/approaches, being beneficial for maritime community</w:t>
      </w:r>
      <w:r w:rsidR="007B084F">
        <w:t xml:space="preserve"> over the Finnish coast</w:t>
      </w:r>
      <w:r>
        <w:t>.</w:t>
      </w:r>
    </w:p>
    <w:p w14:paraId="2EEED13C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EEED13D" w14:textId="77777777" w:rsidR="00793647" w:rsidRPr="00793647" w:rsidRDefault="001B7137" w:rsidP="00F36489">
      <w:pPr>
        <w:pStyle w:val="BodyText"/>
      </w:pPr>
      <w:r>
        <w:t>The committee is invited to note the SBAS performance achieved in the Finnish coast (see input paper)</w:t>
      </w:r>
      <w:r w:rsidR="00793647">
        <w:t>.</w:t>
      </w:r>
    </w:p>
    <w:p w14:paraId="2EEED13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2EEED13F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2EEED140" w14:textId="77777777" w:rsidR="004D1D85" w:rsidRPr="007A395D" w:rsidRDefault="004D1D85" w:rsidP="00F13216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6C5AA" w14:textId="77777777" w:rsidR="00640004" w:rsidRDefault="00640004" w:rsidP="00362CD9">
      <w:r>
        <w:separator/>
      </w:r>
    </w:p>
    <w:p w14:paraId="7D89C978" w14:textId="77777777" w:rsidR="00640004" w:rsidRDefault="00640004"/>
    <w:p w14:paraId="2A030212" w14:textId="77777777" w:rsidR="00640004" w:rsidRDefault="00640004"/>
  </w:endnote>
  <w:endnote w:type="continuationSeparator" w:id="0">
    <w:p w14:paraId="70A7D12F" w14:textId="77777777" w:rsidR="00640004" w:rsidRDefault="00640004" w:rsidP="00362CD9">
      <w:r>
        <w:continuationSeparator/>
      </w:r>
    </w:p>
    <w:p w14:paraId="7110F307" w14:textId="77777777" w:rsidR="00640004" w:rsidRDefault="00640004"/>
    <w:p w14:paraId="32485698" w14:textId="77777777" w:rsidR="00640004" w:rsidRDefault="006400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ED14F" w14:textId="77777777" w:rsidR="005F5934" w:rsidRPr="005F5934" w:rsidRDefault="005F5934" w:rsidP="005F5934">
    <w:pPr>
      <w:pStyle w:val="Footer"/>
      <w:rPr>
        <w:rFonts w:ascii="Calibri" w:hAnsi="Calibri"/>
        <w:b/>
        <w:bCs/>
        <w:sz w:val="20"/>
        <w:szCs w:val="20"/>
      </w:rPr>
    </w:pPr>
    <w:r w:rsidRPr="005F5934">
      <w:rPr>
        <w:rFonts w:ascii="Calibri" w:hAnsi="Calibri"/>
        <w:b/>
        <w:bCs/>
        <w:sz w:val="20"/>
        <w:szCs w:val="20"/>
      </w:rPr>
      <w:t xml:space="preserve">3rd party </w:t>
    </w:r>
    <w:proofErr w:type="spellStart"/>
    <w:r w:rsidRPr="005F5934">
      <w:rPr>
        <w:rFonts w:ascii="Calibri" w:hAnsi="Calibri"/>
        <w:b/>
        <w:bCs/>
        <w:sz w:val="20"/>
        <w:szCs w:val="20"/>
      </w:rPr>
      <w:t>AtoN</w:t>
    </w:r>
    <w:proofErr w:type="spellEnd"/>
    <w:r w:rsidRPr="005F5934">
      <w:rPr>
        <w:rFonts w:ascii="Calibri" w:hAnsi="Calibri"/>
        <w:b/>
        <w:bCs/>
        <w:sz w:val="20"/>
        <w:szCs w:val="20"/>
      </w:rPr>
      <w:t xml:space="preserve"> provider quality control</w:t>
    </w:r>
  </w:p>
  <w:p w14:paraId="2EEED150" w14:textId="77777777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080B4D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A2579" w14:textId="77777777" w:rsidR="00640004" w:rsidRDefault="00640004" w:rsidP="00362CD9">
      <w:r>
        <w:separator/>
      </w:r>
    </w:p>
    <w:p w14:paraId="5AEC69CD" w14:textId="77777777" w:rsidR="00640004" w:rsidRDefault="00640004"/>
    <w:p w14:paraId="3AA3B2D1" w14:textId="77777777" w:rsidR="00640004" w:rsidRDefault="00640004"/>
  </w:footnote>
  <w:footnote w:type="continuationSeparator" w:id="0">
    <w:p w14:paraId="3AE4B93F" w14:textId="77777777" w:rsidR="00640004" w:rsidRDefault="00640004" w:rsidP="00362CD9">
      <w:r>
        <w:continuationSeparator/>
      </w:r>
    </w:p>
    <w:p w14:paraId="73A383FE" w14:textId="77777777" w:rsidR="00640004" w:rsidRDefault="00640004"/>
    <w:p w14:paraId="630BACDE" w14:textId="77777777" w:rsidR="00640004" w:rsidRDefault="00640004"/>
  </w:footnote>
  <w:footnote w:id="1">
    <w:p w14:paraId="2EEED15B" w14:textId="77777777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2EEED15C" w14:textId="77777777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ED14D" w14:textId="77777777" w:rsidR="004D4B1B" w:rsidRDefault="003E29FE">
    <w:pPr>
      <w:pStyle w:val="Header"/>
    </w:pPr>
    <w:r>
      <w:rPr>
        <w:noProof/>
      </w:rPr>
      <w:pict w14:anchorId="2EEED1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ED14E" w14:textId="77777777" w:rsidR="004D4B1B" w:rsidRDefault="004D4B1B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EEED155" wp14:editId="2EEED15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E29FE">
      <w:rPr>
        <w:noProof/>
      </w:rPr>
      <w:pict w14:anchorId="2EEED15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ED151" w14:textId="77777777" w:rsidR="004D4B1B" w:rsidRDefault="004D4B1B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EED158" wp14:editId="2EEED15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EED152" w14:textId="77777777" w:rsidR="004D4B1B" w:rsidRDefault="004D4B1B" w:rsidP="007A395D">
    <w:pPr>
      <w:pStyle w:val="Header"/>
      <w:jc w:val="center"/>
    </w:pPr>
  </w:p>
  <w:p w14:paraId="2EEED153" w14:textId="77777777" w:rsidR="004D4B1B" w:rsidRDefault="003E29FE" w:rsidP="007A395D">
    <w:pPr>
      <w:pStyle w:val="Header"/>
      <w:jc w:val="center"/>
    </w:pPr>
    <w:r>
      <w:rPr>
        <w:noProof/>
      </w:rPr>
      <w:pict w14:anchorId="2EEED15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C96CD8"/>
    <w:multiLevelType w:val="hybridMultilevel"/>
    <w:tmpl w:val="27E61C62"/>
    <w:lvl w:ilvl="0" w:tplc="14DEFB4C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  <w:sz w:val="2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6"/>
  </w:num>
  <w:num w:numId="4">
    <w:abstractNumId w:val="6"/>
  </w:num>
  <w:num w:numId="5">
    <w:abstractNumId w:val="5"/>
  </w:num>
  <w:num w:numId="6">
    <w:abstractNumId w:val="12"/>
  </w:num>
  <w:num w:numId="7">
    <w:abstractNumId w:val="11"/>
  </w:num>
  <w:num w:numId="8">
    <w:abstractNumId w:val="15"/>
  </w:num>
  <w:num w:numId="9">
    <w:abstractNumId w:val="4"/>
  </w:num>
  <w:num w:numId="10">
    <w:abstractNumId w:val="14"/>
  </w:num>
  <w:num w:numId="11">
    <w:abstractNumId w:val="8"/>
  </w:num>
  <w:num w:numId="12">
    <w:abstractNumId w:val="7"/>
  </w:num>
  <w:num w:numId="13">
    <w:abstractNumId w:val="3"/>
  </w:num>
  <w:num w:numId="14">
    <w:abstractNumId w:val="9"/>
  </w:num>
  <w:num w:numId="15">
    <w:abstractNumId w:val="17"/>
  </w:num>
  <w:num w:numId="16">
    <w:abstractNumId w:val="1"/>
  </w:num>
  <w:num w:numId="17">
    <w:abstractNumId w:val="2"/>
  </w:num>
  <w:num w:numId="18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47287"/>
    <w:rsid w:val="00070C13"/>
    <w:rsid w:val="000715C9"/>
    <w:rsid w:val="00080B4D"/>
    <w:rsid w:val="00084F33"/>
    <w:rsid w:val="000925FE"/>
    <w:rsid w:val="000A4E4B"/>
    <w:rsid w:val="000A77A7"/>
    <w:rsid w:val="000B1707"/>
    <w:rsid w:val="000C1B3E"/>
    <w:rsid w:val="000E19F2"/>
    <w:rsid w:val="0010585B"/>
    <w:rsid w:val="00110AE7"/>
    <w:rsid w:val="00127DB0"/>
    <w:rsid w:val="00137240"/>
    <w:rsid w:val="00177F4D"/>
    <w:rsid w:val="00180DDA"/>
    <w:rsid w:val="001B2A2D"/>
    <w:rsid w:val="001B7137"/>
    <w:rsid w:val="001B737D"/>
    <w:rsid w:val="001C44A3"/>
    <w:rsid w:val="001C7BE2"/>
    <w:rsid w:val="001E0E15"/>
    <w:rsid w:val="001F528A"/>
    <w:rsid w:val="001F704E"/>
    <w:rsid w:val="00201722"/>
    <w:rsid w:val="002125B0"/>
    <w:rsid w:val="002369E4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9C3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E29FE"/>
    <w:rsid w:val="003F2918"/>
    <w:rsid w:val="003F430E"/>
    <w:rsid w:val="0041088C"/>
    <w:rsid w:val="00412A6B"/>
    <w:rsid w:val="00420A38"/>
    <w:rsid w:val="00420E97"/>
    <w:rsid w:val="00431B19"/>
    <w:rsid w:val="004520B3"/>
    <w:rsid w:val="004661AD"/>
    <w:rsid w:val="004737B9"/>
    <w:rsid w:val="004A098A"/>
    <w:rsid w:val="004B18C0"/>
    <w:rsid w:val="004C7C79"/>
    <w:rsid w:val="004D1D85"/>
    <w:rsid w:val="004D3C3A"/>
    <w:rsid w:val="004D4B1B"/>
    <w:rsid w:val="004E1CD1"/>
    <w:rsid w:val="005063F5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5934"/>
    <w:rsid w:val="005F7E20"/>
    <w:rsid w:val="00601872"/>
    <w:rsid w:val="00605E43"/>
    <w:rsid w:val="006153BB"/>
    <w:rsid w:val="00640004"/>
    <w:rsid w:val="00640F02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4C83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8467B"/>
    <w:rsid w:val="00793647"/>
    <w:rsid w:val="007A1230"/>
    <w:rsid w:val="007A395D"/>
    <w:rsid w:val="007B084F"/>
    <w:rsid w:val="007C346C"/>
    <w:rsid w:val="007D7171"/>
    <w:rsid w:val="007E09BC"/>
    <w:rsid w:val="0080294B"/>
    <w:rsid w:val="0082480E"/>
    <w:rsid w:val="008270CD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87E11"/>
    <w:rsid w:val="008A356F"/>
    <w:rsid w:val="008A4653"/>
    <w:rsid w:val="008A4717"/>
    <w:rsid w:val="008A50CC"/>
    <w:rsid w:val="008B153A"/>
    <w:rsid w:val="008B71A4"/>
    <w:rsid w:val="008C0003"/>
    <w:rsid w:val="008D1694"/>
    <w:rsid w:val="008D4339"/>
    <w:rsid w:val="008D79CB"/>
    <w:rsid w:val="008F07BC"/>
    <w:rsid w:val="008F5047"/>
    <w:rsid w:val="009165C0"/>
    <w:rsid w:val="0092692B"/>
    <w:rsid w:val="0093354F"/>
    <w:rsid w:val="00943E9C"/>
    <w:rsid w:val="00945C7B"/>
    <w:rsid w:val="00953F4D"/>
    <w:rsid w:val="00960BB8"/>
    <w:rsid w:val="00964F5C"/>
    <w:rsid w:val="009831C0"/>
    <w:rsid w:val="0099161D"/>
    <w:rsid w:val="009B0C0C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A4D37"/>
    <w:rsid w:val="00AE1319"/>
    <w:rsid w:val="00AE144D"/>
    <w:rsid w:val="00AE34BB"/>
    <w:rsid w:val="00B226F2"/>
    <w:rsid w:val="00B274DF"/>
    <w:rsid w:val="00B47C5B"/>
    <w:rsid w:val="00B56BDF"/>
    <w:rsid w:val="00B65812"/>
    <w:rsid w:val="00B77F37"/>
    <w:rsid w:val="00B85CD6"/>
    <w:rsid w:val="00B86E9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72334"/>
    <w:rsid w:val="00CA6F2C"/>
    <w:rsid w:val="00CB2787"/>
    <w:rsid w:val="00CC2DCC"/>
    <w:rsid w:val="00CF1871"/>
    <w:rsid w:val="00D019CE"/>
    <w:rsid w:val="00D1133E"/>
    <w:rsid w:val="00D17A34"/>
    <w:rsid w:val="00D26628"/>
    <w:rsid w:val="00D332B3"/>
    <w:rsid w:val="00D443D5"/>
    <w:rsid w:val="00D55207"/>
    <w:rsid w:val="00D55B61"/>
    <w:rsid w:val="00D7371B"/>
    <w:rsid w:val="00D81801"/>
    <w:rsid w:val="00D92B45"/>
    <w:rsid w:val="00D95962"/>
    <w:rsid w:val="00DC389B"/>
    <w:rsid w:val="00DE2FEE"/>
    <w:rsid w:val="00E00BE9"/>
    <w:rsid w:val="00E22A11"/>
    <w:rsid w:val="00E26DE6"/>
    <w:rsid w:val="00E31E5C"/>
    <w:rsid w:val="00E44DD2"/>
    <w:rsid w:val="00E558C3"/>
    <w:rsid w:val="00E55927"/>
    <w:rsid w:val="00E55BC2"/>
    <w:rsid w:val="00E7511B"/>
    <w:rsid w:val="00E83F27"/>
    <w:rsid w:val="00E86CDD"/>
    <w:rsid w:val="00E912A6"/>
    <w:rsid w:val="00E97303"/>
    <w:rsid w:val="00EA4844"/>
    <w:rsid w:val="00EA4D9C"/>
    <w:rsid w:val="00EA5A97"/>
    <w:rsid w:val="00EB75EE"/>
    <w:rsid w:val="00EC0DB9"/>
    <w:rsid w:val="00EC14B2"/>
    <w:rsid w:val="00ED0710"/>
    <w:rsid w:val="00ED36FD"/>
    <w:rsid w:val="00EE4C1D"/>
    <w:rsid w:val="00EF3685"/>
    <w:rsid w:val="00F04350"/>
    <w:rsid w:val="00F13216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C499E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2EEED11F"/>
  <w15:docId w15:val="{5B195D41-F799-4591-9DEB-36767571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3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D6E6C-FCB7-477E-95A8-95B34E0C8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22626D-D883-4792-864C-F455ADB707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5A1A4A-037B-48FF-9D00-95033C578A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B44EEC-F52E-45DB-B479-A311786E1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WSA Koblenz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Jaime Alvarez</cp:lastModifiedBy>
  <cp:revision>12</cp:revision>
  <cp:lastPrinted>2020-08-31T12:34:00Z</cp:lastPrinted>
  <dcterms:created xsi:type="dcterms:W3CDTF">2020-08-31T12:26:00Z</dcterms:created>
  <dcterms:modified xsi:type="dcterms:W3CDTF">2020-09-22T11:23:00Z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